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1160" w14:textId="22A19EB3" w:rsidR="002E08CC" w:rsidRDefault="002E08CC" w:rsidP="002E08CC">
      <w:r>
        <w:rPr>
          <w:noProof/>
        </w:rPr>
        <w:drawing>
          <wp:anchor distT="0" distB="0" distL="114300" distR="114300" simplePos="0" relativeHeight="251658240" behindDoc="0" locked="0" layoutInCell="1" allowOverlap="0" wp14:anchorId="4393D925" wp14:editId="31302214">
            <wp:simplePos x="0" y="0"/>
            <wp:positionH relativeFrom="column">
              <wp:posOffset>3522133</wp:posOffset>
            </wp:positionH>
            <wp:positionV relativeFrom="paragraph">
              <wp:posOffset>0</wp:posOffset>
            </wp:positionV>
            <wp:extent cx="1590675" cy="723900"/>
            <wp:effectExtent l="0" t="0" r="9525" b="0"/>
            <wp:wrapSquare wrapText="bothSides"/>
            <wp:docPr id="1677356573" name="Picture 2" descr="A red cros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56573" name="Picture 2" descr="A red cross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9FE4AC4" wp14:editId="1DC04CDD">
            <wp:extent cx="2700655" cy="567055"/>
            <wp:effectExtent l="0" t="0" r="4445" b="4445"/>
            <wp:docPr id="1599574798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74798" name="Picture 1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775B" w14:textId="77777777" w:rsidR="002E08CC" w:rsidRDefault="002E08CC" w:rsidP="002E08CC">
      <w: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E08CC" w14:paraId="018DF0AA" w14:textId="77777777" w:rsidTr="002E08CC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98B9E" w14:textId="77777777" w:rsidR="002E08CC" w:rsidRDefault="002E08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partneris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Lietuvos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Raudonojo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Kryžiaus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draugija</w:t>
            </w:r>
            <w:proofErr w:type="spellEnd"/>
          </w:p>
        </w:tc>
      </w:tr>
      <w:tr w:rsidR="002E08CC" w14:paraId="323E5B42" w14:textId="77777777" w:rsidTr="002E08CC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64914" w14:textId="77777777" w:rsidR="002E08CC" w:rsidRDefault="002E08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HOME/2022/AMIF/AG/EMAS/TF1/LT/0013</w:t>
            </w:r>
          </w:p>
        </w:tc>
      </w:tr>
      <w:tr w:rsidR="002E08CC" w14:paraId="34AF7371" w14:textId="77777777" w:rsidTr="002E08CC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5293C" w14:textId="26EC7E39" w:rsidR="002E08CC" w:rsidRDefault="002E08C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Pabėgėlių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iš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Ukrainos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priėmimas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ankstyva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, finansuojamo iš Prieglobsčio, migracijos ir integracijos fondo priemonės „Pagalba ekstremalios situacijos atveju“ lėšų</w:t>
            </w:r>
            <w:r w:rsidR="00861287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.</w:t>
            </w:r>
          </w:p>
          <w:p w14:paraId="4C44890E" w14:textId="4E9FE7D5" w:rsidR="002E08CC" w:rsidRPr="001F533F" w:rsidRDefault="001F533F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1F533F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Pagal projektą vykdomos veiklos:</w:t>
            </w:r>
          </w:p>
          <w:p w14:paraId="422CA053" w14:textId="77777777" w:rsidR="001F533F" w:rsidRDefault="001F533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09"/>
              <w:gridCol w:w="3742"/>
              <w:gridCol w:w="4561"/>
            </w:tblGrid>
            <w:tr w:rsidR="002E08CC" w14:paraId="2244F53E" w14:textId="77777777" w:rsidTr="00861287">
              <w:tc>
                <w:tcPr>
                  <w:tcW w:w="1109" w:type="dxa"/>
                </w:tcPr>
                <w:p w14:paraId="2D8157A4" w14:textId="040A3BB6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Projekto veiklos Nr.</w:t>
                  </w:r>
                </w:p>
              </w:tc>
              <w:tc>
                <w:tcPr>
                  <w:tcW w:w="3742" w:type="dxa"/>
                </w:tcPr>
                <w:p w14:paraId="5A77232C" w14:textId="32A8F754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Projekto veiklos pavadinimas</w:t>
                  </w:r>
                </w:p>
              </w:tc>
              <w:tc>
                <w:tcPr>
                  <w:tcW w:w="4561" w:type="dxa"/>
                </w:tcPr>
                <w:p w14:paraId="560BEB0B" w14:textId="60B1B6F6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Projekto veiklos aprašymas</w:t>
                  </w:r>
                </w:p>
              </w:tc>
            </w:tr>
            <w:tr w:rsidR="002E08CC" w14:paraId="5C207268" w14:textId="77777777" w:rsidTr="00861287">
              <w:trPr>
                <w:trHeight w:val="959"/>
              </w:trPr>
              <w:tc>
                <w:tcPr>
                  <w:tcW w:w="1109" w:type="dxa"/>
                </w:tcPr>
                <w:p w14:paraId="4A8102BF" w14:textId="45AF79F8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1</w:t>
                  </w:r>
                </w:p>
              </w:tc>
              <w:tc>
                <w:tcPr>
                  <w:tcW w:w="3742" w:type="dxa"/>
                </w:tcPr>
                <w:p w14:paraId="17250F8F" w14:textId="681FAD8E" w:rsidR="002E08CC" w:rsidRPr="002E08CC" w:rsidRDefault="002E08CC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Veikla, skirta asmenų migracijos metu patirto streso, taip pat kitų fizinių ir psichologinių patirčių sukeltoms savijautos problemoms spręsti</w:t>
                  </w:r>
                  <w:r w:rsidR="009043BE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6F833FE1" w14:textId="77777777" w:rsidR="002E08CC" w:rsidRPr="002E08CC" w:rsidRDefault="002E08CC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61" w:type="dxa"/>
                </w:tcPr>
                <w:p w14:paraId="4E9FE508" w14:textId="4BB9006A" w:rsidR="002E08CC" w:rsidRPr="002E08CC" w:rsidRDefault="001D2B79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Vykdomas p</w:t>
                  </w:r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sichosocialinių paslaugų teikimas (individualių ir grupinių)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anglų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rusų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lietuvių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kalbomis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skirtos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asmenų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migracijos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metu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patirto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streso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taip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pat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kitų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fizinių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psichologinių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patirčių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sukeltoms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savijautos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problemoms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spręsti</w:t>
                  </w:r>
                  <w:proofErr w:type="spellEnd"/>
                  <w:r w:rsidR="002E08CC"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10F18CE0" w14:textId="7369B31A" w:rsidR="002E08CC" w:rsidRPr="002E08CC" w:rsidRDefault="002E08CC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O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rganizuojamos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savitarpio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pagalbos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grupės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52532E34" w14:textId="77777777" w:rsidR="002E08CC" w:rsidRPr="002E08CC" w:rsidRDefault="002E08CC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2E08CC" w14:paraId="08051955" w14:textId="77777777" w:rsidTr="00861287">
              <w:tc>
                <w:tcPr>
                  <w:tcW w:w="1109" w:type="dxa"/>
                </w:tcPr>
                <w:p w14:paraId="63D1E0BD" w14:textId="28BC812F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3</w:t>
                  </w:r>
                </w:p>
              </w:tc>
              <w:tc>
                <w:tcPr>
                  <w:tcW w:w="3742" w:type="dxa"/>
                </w:tcPr>
                <w:p w14:paraId="10CECAFC" w14:textId="5AC0E59D" w:rsidR="002E08CC" w:rsidRPr="002E08CC" w:rsidRDefault="002E08CC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moterims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mergaitėms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įgalinti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tikslingai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pagal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poreikį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įtraukiant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migrantus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vyrus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šviečiamuosius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seminarus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apie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lyčių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lygybę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kultūrinius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skirtumus</w:t>
                  </w:r>
                  <w:proofErr w:type="spellEnd"/>
                  <w:r w:rsidRPr="002E08C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ir smurtą artimoje aplinkoje</w:t>
                  </w:r>
                  <w:r w:rsidR="00E24351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5D141631" w14:textId="77777777" w:rsidR="002E08CC" w:rsidRP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6A4D9B57" w14:textId="0D6AF5FA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Organizuojama v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eikla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moterims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mergaitėms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įgalinti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: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šviečiamieji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seminarai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verslumo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skatinimas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savarankiškumo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skatinimas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grupės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dėl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moterų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teisių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sveikatą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finansinę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laisvę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integraciją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rinką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bei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švietimo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sistemą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mentorystės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programos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tikslingai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pagal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poreikį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įtraukiant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migrantus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vyrus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šviečiamuosius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seminarus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apie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lyčių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lygybę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kultūrinius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skirtumus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smurtą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artimoje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aplinkoje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05A78E27" w14:textId="19368EE1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2E08CC" w14:paraId="09780552" w14:textId="77777777" w:rsidTr="00861287">
              <w:tc>
                <w:tcPr>
                  <w:tcW w:w="1109" w:type="dxa"/>
                </w:tcPr>
                <w:p w14:paraId="46A976F8" w14:textId="50BB57DE" w:rsidR="002E08CC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5</w:t>
                  </w:r>
                </w:p>
              </w:tc>
              <w:tc>
                <w:tcPr>
                  <w:tcW w:w="3742" w:type="dxa"/>
                </w:tcPr>
                <w:p w14:paraId="05592DB7" w14:textId="5CCE99C0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socialinei-kultūrinei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pilietinei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integracijai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užtikrinti per visuomenės pažinimą</w:t>
                  </w:r>
                  <w:r w:rsidR="00FA0AA2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477BED71" w14:textId="77777777" w:rsidR="002E08CC" w:rsidRPr="00C279C9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5AEC144C" w14:textId="36AE8143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Organizuojama v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eikla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socialinei-kultūrinei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pilietinei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integracijai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užtikrinti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per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visuomenės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pažinimą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(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socialinio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pilietinio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orientavimo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kursai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seminarai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informacijos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sklaida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).</w:t>
                  </w:r>
                </w:p>
                <w:p w14:paraId="6E45DE8F" w14:textId="66A44870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2E08CC" w14:paraId="26A97A1B" w14:textId="77777777" w:rsidTr="00861287">
              <w:tc>
                <w:tcPr>
                  <w:tcW w:w="1109" w:type="dxa"/>
                </w:tcPr>
                <w:p w14:paraId="5C70C785" w14:textId="5FA1ADC5" w:rsidR="002E08CC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lastRenderedPageBreak/>
                    <w:t>6</w:t>
                  </w:r>
                </w:p>
              </w:tc>
              <w:tc>
                <w:tcPr>
                  <w:tcW w:w="3742" w:type="dxa"/>
                </w:tcPr>
                <w:p w14:paraId="6E7BDDBB" w14:textId="35183EBB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nelegalaus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mažinimo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prekybos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žmonėmis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priklausomybių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nuo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psichotropinių medžiagų rizikos prevencijai</w:t>
                  </w:r>
                  <w:r w:rsidR="00FA0AA2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5471FCEB" w14:textId="77777777" w:rsidR="002E08CC" w:rsidRPr="00C279C9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7694C740" w14:textId="2D76975A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Trečiųjų šalių piliečiams teik</w:t>
                  </w: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iama</w:t>
                  </w: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pagalba konsultuojant  nelegalaus darbo, prekybos žmonėmis ir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priklausomybių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nuo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psichotropinių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medžiagų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rizikos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prevencijos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temomis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. </w:t>
                  </w:r>
                </w:p>
                <w:p w14:paraId="6DA32403" w14:textId="7850F272" w:rsidR="002E08CC" w:rsidRPr="00C279C9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E08CC" w14:paraId="39CFBE45" w14:textId="77777777" w:rsidTr="00861287">
              <w:tc>
                <w:tcPr>
                  <w:tcW w:w="1109" w:type="dxa"/>
                </w:tcPr>
                <w:p w14:paraId="4EBE30C1" w14:textId="5E6A47C0" w:rsidR="002E08CC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7</w:t>
                  </w:r>
                </w:p>
              </w:tc>
              <w:tc>
                <w:tcPr>
                  <w:tcW w:w="3742" w:type="dxa"/>
                </w:tcPr>
                <w:p w14:paraId="4F923256" w14:textId="0AB27A26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informacijai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teikti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apie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teisės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aktuose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nustatytas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teises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pareigas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Lietuvos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Respublikoje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apie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galimybes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gauti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sveikatos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priežiūros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socialinės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apsaugos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švietimo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kitas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paslaugas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bei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didinti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jų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prieinamumą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su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tuo susijusios teisinės konsultacijos</w:t>
                  </w:r>
                  <w:r w:rsidR="0036452F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180BE1BD" w14:textId="77777777" w:rsidR="002E08CC" w:rsidRPr="00C279C9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57672E04" w14:textId="01CB3D7D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Teikiama</w:t>
                  </w: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informacija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apie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teisės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aktuose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nustatytas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teises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pareigas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Lietuvos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Respublikoje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. </w:t>
                  </w:r>
                </w:p>
                <w:p w14:paraId="716138DF" w14:textId="3400A6CD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2E08CC" w14:paraId="56ADC02E" w14:textId="77777777" w:rsidTr="00861287">
              <w:tc>
                <w:tcPr>
                  <w:tcW w:w="1109" w:type="dxa"/>
                </w:tcPr>
                <w:p w14:paraId="71C32F43" w14:textId="6D028B38" w:rsidR="002E08CC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8</w:t>
                  </w:r>
                </w:p>
              </w:tc>
              <w:tc>
                <w:tcPr>
                  <w:tcW w:w="3742" w:type="dxa"/>
                </w:tcPr>
                <w:p w14:paraId="6B9AB997" w14:textId="0259E1DF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Vertimo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žodžiu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ir (arba) raštu paslaugos</w:t>
                  </w:r>
                  <w:r w:rsidR="00807E42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16AC979D" w14:textId="77777777" w:rsidR="002E08CC" w:rsidRPr="00C279C9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67F90124" w14:textId="1ADFCC48" w:rsidR="002E08CC" w:rsidRPr="00807E42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E08CC" w14:paraId="6C598154" w14:textId="77777777" w:rsidTr="00861287">
              <w:tc>
                <w:tcPr>
                  <w:tcW w:w="1109" w:type="dxa"/>
                </w:tcPr>
                <w:p w14:paraId="62B29973" w14:textId="775FCF14" w:rsidR="002E08CC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9</w:t>
                  </w:r>
                </w:p>
              </w:tc>
              <w:tc>
                <w:tcPr>
                  <w:tcW w:w="3742" w:type="dxa"/>
                </w:tcPr>
                <w:p w14:paraId="27C23724" w14:textId="3ED0D730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užsieniečiams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įtraukti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Lietuvos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rinką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atsižvelgiant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jų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turimą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patirtį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darbdavių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poreikius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individualius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poreikius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asmenų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, priklausančių pažeidžiamų asmenų grupėms</w:t>
                  </w:r>
                  <w:r w:rsidR="00F013E0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39369C06" w14:textId="77777777" w:rsidR="002E08CC" w:rsidRDefault="002E08CC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61" w:type="dxa"/>
                </w:tcPr>
                <w:p w14:paraId="629FFCEC" w14:textId="081A6061" w:rsidR="00C279C9" w:rsidRPr="00C279C9" w:rsidRDefault="00C279C9" w:rsidP="00C279C9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Teikiama p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agalba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tarpininkavimas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susirandant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darbą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mentorystė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vietoje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asmeninių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profesinių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kompetencijų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tobulinimas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norinčių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užsiimti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verslu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konsultavimas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su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tuo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susijusi pagalba ir verslumo mokymai, renginiai darbo ieškantiems užsieniečiams ir vietos darbdaviams, darbo ieškančiojo įgūdžių ir darbdavio poreikių sude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rinimas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;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edukaciniai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mokymai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darbdaviams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apie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migrantų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įdarbinimo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galimybes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sąlygas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Lietuvoje</w:t>
                  </w:r>
                  <w:proofErr w:type="spellEnd"/>
                  <w:r w:rsidRPr="00C279C9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78B5AA77" w14:textId="76411103" w:rsidR="002E08CC" w:rsidRPr="00C279C9" w:rsidRDefault="002E08CC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C279C9" w14:paraId="60F5F103" w14:textId="77777777" w:rsidTr="00861287">
              <w:tc>
                <w:tcPr>
                  <w:tcW w:w="1109" w:type="dxa"/>
                </w:tcPr>
                <w:p w14:paraId="53FCCAC2" w14:textId="6BB04CFE" w:rsidR="00C279C9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10</w:t>
                  </w:r>
                </w:p>
              </w:tc>
              <w:tc>
                <w:tcPr>
                  <w:tcW w:w="3742" w:type="dxa"/>
                </w:tcPr>
                <w:p w14:paraId="28249A0A" w14:textId="2DB51382" w:rsidR="00861287" w:rsidRPr="00861287" w:rsidRDefault="00861287" w:rsidP="00861287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vietos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bendruomenės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narių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sutelktumui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ir tarpusavio pasitikėjimui stiprinti</w:t>
                  </w:r>
                  <w:r w:rsidR="002569AF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23FB6073" w14:textId="77777777" w:rsidR="00C279C9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61" w:type="dxa"/>
                </w:tcPr>
                <w:p w14:paraId="0D3E6069" w14:textId="4AE735C3" w:rsidR="00861287" w:rsidRPr="00861287" w:rsidRDefault="00861287" w:rsidP="00861287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Organizuojama b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endruomenės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narių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kultūrinė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švietėjiška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siekiant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užmegzti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socialinį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ryšį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su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užsieniečiais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sporto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sveikatinimo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užsieniečių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įtraukimas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į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savanorystės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mentorystės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bendruomenėje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programos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7DAFEBCC" w14:textId="77777777" w:rsidR="00C279C9" w:rsidRPr="00861287" w:rsidRDefault="00C279C9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C279C9" w14:paraId="5405A38A" w14:textId="77777777" w:rsidTr="00861287">
              <w:tc>
                <w:tcPr>
                  <w:tcW w:w="1109" w:type="dxa"/>
                </w:tcPr>
                <w:p w14:paraId="78F55042" w14:textId="475A2E23" w:rsidR="00C279C9" w:rsidRDefault="00861287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lt-LT"/>
                    </w:rPr>
                    <w:t>11</w:t>
                  </w:r>
                </w:p>
              </w:tc>
              <w:tc>
                <w:tcPr>
                  <w:tcW w:w="3742" w:type="dxa"/>
                </w:tcPr>
                <w:p w14:paraId="17E4E2A2" w14:textId="70F01599" w:rsidR="00861287" w:rsidRPr="00861287" w:rsidRDefault="00861287" w:rsidP="00861287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skirta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migrantų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vaikų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jaunimo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neformaliajam ugdymui ir skirta padėti registruoti vaikus į priešmokyklinio ir mokyklinio </w:t>
                  </w: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lastRenderedPageBreak/>
                    <w:t xml:space="preserve">ugdymo programas ir tarpininkauti padedant susirasti vaikams ir jaunimui veiklą pagal jų poreikius ir pomėgius bei skatinti popamokinę jų veiklą, įgalinti tėvus/globėjus aktyviai dalyvauti savo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vaikų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ir</w:t>
                  </w: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jaunimo mokymosi procese</w:t>
                  </w:r>
                  <w:r w:rsidR="00DB4EA0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525D18FE" w14:textId="42D71DEB" w:rsidR="00861287" w:rsidRPr="00861287" w:rsidRDefault="00861287" w:rsidP="00861287">
                  <w:pPr>
                    <w:rPr>
                      <w:rFonts w:ascii="Times New Roman" w:eastAsia="Calibri" w:hAnsi="Times New Roman"/>
                    </w:rPr>
                  </w:pPr>
                </w:p>
                <w:p w14:paraId="7614F24D" w14:textId="77777777" w:rsidR="00C279C9" w:rsidRPr="00861287" w:rsidRDefault="00C279C9" w:rsidP="002E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701D1231" w14:textId="01A3A919" w:rsidR="00861287" w:rsidRPr="00861287" w:rsidRDefault="00861287" w:rsidP="00861287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lastRenderedPageBreak/>
                    <w:t>Vykdomas m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igrantų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vaikų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jaunimo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neformalus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ugdymas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popamokinės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veiklos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skatinimas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,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tėvų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įgalinimas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aktyviai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lastRenderedPageBreak/>
                    <w:t>dalyvauti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savo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vaikų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ir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jaunimo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mokymosi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procese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2CB1B89E" w14:textId="531F26C5" w:rsidR="00861287" w:rsidRPr="00861287" w:rsidRDefault="00861287" w:rsidP="00861287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Organizuojamos dienos stovyklos </w:t>
                  </w: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„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Pasimatuok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 xml:space="preserve"> </w:t>
                  </w:r>
                  <w:proofErr w:type="spellStart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profesiją</w:t>
                  </w:r>
                  <w:proofErr w:type="spellEnd"/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“</w:t>
                  </w:r>
                  <w:r w:rsidRPr="00861287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.</w:t>
                  </w:r>
                </w:p>
                <w:p w14:paraId="16F5C77C" w14:textId="390457AC" w:rsidR="00861287" w:rsidRPr="00861287" w:rsidRDefault="00861287" w:rsidP="00861287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</w:p>
                <w:p w14:paraId="1CA07DC5" w14:textId="77777777" w:rsidR="00C279C9" w:rsidRPr="00861287" w:rsidRDefault="00C279C9" w:rsidP="002E08CC">
                  <w:pPr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578D8724" w14:textId="77777777" w:rsidR="002E08CC" w:rsidRPr="002E08CC" w:rsidRDefault="002E08CC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1D3FD3DC" w14:textId="5340AE99" w:rsidR="002E08CC" w:rsidRPr="002E08CC" w:rsidRDefault="002E08CC" w:rsidP="002E08CC">
            <w:pPr>
              <w:pStyle w:val="ListParagrap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E08CC" w14:paraId="12B7F6BF" w14:textId="77777777" w:rsidTr="002E08CC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</w:tcPr>
          <w:p w14:paraId="49EC8BB2" w14:textId="5B65B601" w:rsidR="002E08CC" w:rsidRDefault="002E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81B103" w14:textId="77777777" w:rsidR="002E08CC" w:rsidRDefault="002E08CC" w:rsidP="002E08CC">
      <w:r>
        <w:t xml:space="preserve"> </w:t>
      </w:r>
    </w:p>
    <w:p w14:paraId="1A214DB7" w14:textId="77777777" w:rsidR="00DB4672" w:rsidRDefault="00DB4672"/>
    <w:sectPr w:rsidR="00DB4672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96D"/>
    <w:multiLevelType w:val="hybridMultilevel"/>
    <w:tmpl w:val="3CE68F7A"/>
    <w:lvl w:ilvl="0" w:tplc="4E02F504">
      <w:start w:val="1"/>
      <w:numFmt w:val="decimal"/>
      <w:lvlText w:val="%1."/>
      <w:lvlJc w:val="left"/>
      <w:pPr>
        <w:ind w:left="720" w:hanging="360"/>
      </w:pPr>
      <w:rPr>
        <w:rFonts w:ascii="Calibri" w:eastAsia="DengXian" w:hAnsi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63A11"/>
    <w:multiLevelType w:val="hybridMultilevel"/>
    <w:tmpl w:val="E00A9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7951">
    <w:abstractNumId w:val="1"/>
  </w:num>
  <w:num w:numId="2" w16cid:durableId="172471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CC"/>
    <w:rsid w:val="001D2B79"/>
    <w:rsid w:val="001F533F"/>
    <w:rsid w:val="002569AF"/>
    <w:rsid w:val="002E08CC"/>
    <w:rsid w:val="0036452F"/>
    <w:rsid w:val="00415BE3"/>
    <w:rsid w:val="004744CD"/>
    <w:rsid w:val="00807E42"/>
    <w:rsid w:val="00861287"/>
    <w:rsid w:val="009043BE"/>
    <w:rsid w:val="00C279C9"/>
    <w:rsid w:val="00DB4672"/>
    <w:rsid w:val="00DB4EA0"/>
    <w:rsid w:val="00E24351"/>
    <w:rsid w:val="00F013E0"/>
    <w:rsid w:val="00F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6B43"/>
  <w15:chartTrackingRefBased/>
  <w15:docId w15:val="{76C6C8A7-76C8-4390-8A55-613E6E6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CC"/>
    <w:pPr>
      <w:spacing w:before="100" w:beforeAutospacing="1" w:line="256" w:lineRule="auto"/>
    </w:pPr>
    <w:rPr>
      <w:rFonts w:ascii="Calibri" w:eastAsia="DengXian" w:hAnsi="Calibri" w:cs="Times New Roman"/>
      <w:lang w:val="en-150" w:eastAsia="en-1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08CC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US" w:eastAsia="en-15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Panciriovienė</dc:creator>
  <cp:keywords/>
  <dc:description/>
  <cp:lastModifiedBy>Ramunė Panciriovienė</cp:lastModifiedBy>
  <cp:revision>13</cp:revision>
  <dcterms:created xsi:type="dcterms:W3CDTF">2023-11-20T07:26:00Z</dcterms:created>
  <dcterms:modified xsi:type="dcterms:W3CDTF">2023-11-20T08:05:00Z</dcterms:modified>
</cp:coreProperties>
</file>